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09269">
      <w:pPr>
        <w:pStyle w:val="2"/>
        <w:keepNext w:val="0"/>
        <w:keepLines w:val="0"/>
        <w:widowControl/>
        <w:suppressLineNumbers w:val="0"/>
        <w:spacing w:after="210" w:afterAutospacing="0" w:line="27" w:lineRule="atLeast"/>
        <w:ind w:left="0" w:firstLine="0"/>
        <w:jc w:val="center"/>
        <w:rPr>
          <w:rFonts w:hint="eastAsia" w:ascii="宋体" w:hAnsi="宋体" w:eastAsia="宋体" w:cs="宋体"/>
          <w:i w:val="0"/>
          <w:iCs w:val="0"/>
          <w:caps w:val="0"/>
          <w:color w:val="2C2C2C"/>
          <w:spacing w:val="0"/>
          <w:sz w:val="24"/>
          <w:szCs w:val="24"/>
        </w:rPr>
      </w:pPr>
      <w:r>
        <w:rPr>
          <w:rFonts w:hint="eastAsia" w:ascii="宋体" w:hAnsi="宋体" w:eastAsia="宋体" w:cs="宋体"/>
          <w:b/>
          <w:bCs/>
          <w:i w:val="0"/>
          <w:iCs w:val="0"/>
          <w:caps w:val="0"/>
          <w:color w:val="2C2C2C"/>
          <w:spacing w:val="0"/>
          <w:sz w:val="24"/>
          <w:szCs w:val="24"/>
          <w:lang w:val="en-US" w:eastAsia="zh-CN"/>
        </w:rPr>
        <w:t>关于推动解决政府采购异常低价的通知</w:t>
      </w:r>
      <w:r>
        <w:rPr>
          <w:rFonts w:hint="eastAsia" w:ascii="宋体" w:hAnsi="宋体" w:eastAsia="宋体" w:cs="宋体"/>
          <w:b/>
          <w:bCs/>
          <w:i w:val="0"/>
          <w:iCs w:val="0"/>
          <w:caps w:val="0"/>
          <w:color w:val="2C2C2C"/>
          <w:spacing w:val="0"/>
          <w:sz w:val="24"/>
          <w:szCs w:val="24"/>
        </w:rPr>
        <w:br w:type="textWrapping"/>
      </w:r>
      <w:r>
        <w:rPr>
          <w:rFonts w:hint="eastAsia" w:ascii="宋体" w:hAnsi="宋体" w:eastAsia="宋体" w:cs="宋体"/>
          <w:i w:val="0"/>
          <w:iCs w:val="0"/>
          <w:caps w:val="0"/>
          <w:color w:val="2C2C2C"/>
          <w:spacing w:val="0"/>
          <w:sz w:val="24"/>
          <w:szCs w:val="24"/>
        </w:rPr>
        <w:t>财库〔2026〕2号</w:t>
      </w:r>
    </w:p>
    <w:p w14:paraId="319FC45B">
      <w:pPr>
        <w:pStyle w:val="2"/>
        <w:keepNext w:val="0"/>
        <w:keepLines w:val="0"/>
        <w:widowControl/>
        <w:suppressLineNumbers w:val="0"/>
        <w:spacing w:after="210" w:afterAutospacing="0" w:line="27" w:lineRule="atLeast"/>
        <w:ind w:left="0" w:firstLine="0"/>
        <w:jc w:val="center"/>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lang w:eastAsia="zh-CN"/>
        </w:rPr>
        <w:t>（</w:t>
      </w:r>
      <w:r>
        <w:rPr>
          <w:rFonts w:hint="eastAsia" w:ascii="宋体" w:hAnsi="宋体" w:eastAsia="宋体" w:cs="宋体"/>
          <w:i w:val="0"/>
          <w:iCs w:val="0"/>
          <w:caps w:val="0"/>
          <w:color w:val="2C2C2C"/>
          <w:spacing w:val="0"/>
          <w:sz w:val="24"/>
          <w:szCs w:val="24"/>
        </w:rPr>
        <w:t>https://m.mof.gov.cn/czxw/202601/t20260121_3982332.htm</w:t>
      </w:r>
      <w:r>
        <w:rPr>
          <w:rFonts w:hint="eastAsia" w:ascii="宋体" w:hAnsi="宋体" w:eastAsia="宋体" w:cs="宋体"/>
          <w:i w:val="0"/>
          <w:iCs w:val="0"/>
          <w:caps w:val="0"/>
          <w:color w:val="2C2C2C"/>
          <w:spacing w:val="0"/>
          <w:sz w:val="24"/>
          <w:szCs w:val="24"/>
          <w:lang w:eastAsia="zh-CN"/>
        </w:rPr>
        <w:t>）</w:t>
      </w:r>
    </w:p>
    <w:p w14:paraId="403495D2">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各中央预算单位，各省、自治区、直辖市、计划单列市财政厅（局），新疆生产建设兵团财政局： </w:t>
      </w:r>
    </w:p>
    <w:p w14:paraId="70EDE573">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为整治政府采购领域“内卷式”竞争，形成优质优价、良性竞争的市场秩序，现就推动解决政府采购异常低价问题有关事项通知如下： </w:t>
      </w:r>
    </w:p>
    <w:p w14:paraId="51CB6832">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w:t>
      </w:r>
      <w:r>
        <w:rPr>
          <w:rFonts w:hint="eastAsia" w:ascii="宋体" w:hAnsi="宋体" w:eastAsia="宋体" w:cs="宋体"/>
          <w:b/>
          <w:bCs/>
          <w:i w:val="0"/>
          <w:iCs w:val="0"/>
          <w:caps w:val="0"/>
          <w:color w:val="2C2C2C"/>
          <w:spacing w:val="0"/>
          <w:sz w:val="24"/>
          <w:szCs w:val="24"/>
        </w:rPr>
        <w:t>一、加强政府采购需求管理 </w:t>
      </w:r>
      <w:bookmarkStart w:id="0" w:name="_GoBack"/>
      <w:bookmarkEnd w:id="0"/>
    </w:p>
    <w:p w14:paraId="1960F5B7">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应当根据实际工作需要，综合考虑同类项目中标（成交）信息，以及市场供给和产业发展状况，材料、人工等市场价格，行业费用标准等市场调查情况，形成科学、完整、清晰的采购需求，合理设定最高限价，为供应商竞争报价提供基础。未设定最高限价的采购项目，以采购项目预算金额作为最高限价。 </w:t>
      </w:r>
    </w:p>
    <w:p w14:paraId="5F7FE477">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要综合考虑技术、成本效益、促进竞争等因素，按照专业类型和专业领域，合理设置采购包。采购人可以引入全生命周期成本理念，在采购文件中要求供应商对约定期限内的运营、维护、升级，专用耗材，处置报废等费用进行报价，作为评审因素，并在采购合同中明确，供应商应当在约定期限内以不高于其报价的价格向采购人提供专用耗材或者相关服务。采购项目采用综合评分法的，应当按照相关规定科学合理确定价格、技术、商务等因素的分值和权重。 </w:t>
      </w:r>
    </w:p>
    <w:p w14:paraId="5F47D358">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应当重点加强对信息化建设项目和耗材使用量大的复印、打印、实验、医疗等仪器设备采购项目的管理。对于信息化建设项目，采购人应当要求供应商严格落实相关开放性、兼容性标准和规范要求，按合同约定提供服务；在系统运行过程中，供应商不得在国家规定和合同约定之外以任何名义向相关服务对象收取费用。 </w:t>
      </w:r>
    </w:p>
    <w:p w14:paraId="01B2109C">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w:t>
      </w:r>
      <w:r>
        <w:rPr>
          <w:rFonts w:hint="eastAsia" w:ascii="宋体" w:hAnsi="宋体" w:eastAsia="宋体" w:cs="宋体"/>
          <w:b/>
          <w:bCs/>
          <w:i w:val="0"/>
          <w:iCs w:val="0"/>
          <w:caps w:val="0"/>
          <w:color w:val="2C2C2C"/>
          <w:spacing w:val="0"/>
          <w:sz w:val="24"/>
          <w:szCs w:val="24"/>
        </w:rPr>
        <w:t>二、强化政府采购异常低价审查 </w:t>
      </w:r>
    </w:p>
    <w:p w14:paraId="38367C90">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（一）采购人应当在采购文件中明确，政府采购评审中出现下列情形之一的，评审委员会应当启动异常低价投标（响应）审查程序： </w:t>
      </w:r>
    </w:p>
    <w:p w14:paraId="34E021C9">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1.投标（响应）报价低于全部通过符合性审查供应商投标（响应）报价平均值50%的，即投标（响应）报价&lt;全部通过符合性审查供应商投标（响应）报价平均值×50%； </w:t>
      </w:r>
    </w:p>
    <w:p w14:paraId="0B4A2520">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2.投标（响应）报价低于通过符合性审查的次低报价供应商投标（响应）报价50%的，即投标（响应）报价&lt;通过符合性审查的次低报价供应商投标（响应）报价×50%； </w:t>
      </w:r>
    </w:p>
    <w:p w14:paraId="596B8276">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3.投标（响应）报价低于采购项目最高限价45%的，即投标（响应）报价&lt;采购项目最高限价×45%； </w:t>
      </w:r>
    </w:p>
    <w:p w14:paraId="52C11C3C">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4.评审委员会基于专业判断，认为供应商报价过低，有可能影响产品质量或者不能诚信履约的其他情形。 </w:t>
      </w:r>
    </w:p>
    <w:p w14:paraId="20522D2C">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采购人可以结合具体项目实际情况，提高上述第1项至第3项中启动异常低价投标（响应）审查的数值标准，但是最高不得超过65%。 </w:t>
      </w:r>
    </w:p>
    <w:p w14:paraId="50334155">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相关法律法规对供应商报价有规定的，从其规定。 </w:t>
      </w:r>
    </w:p>
    <w:p w14:paraId="78DE36C4">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 </w:t>
      </w:r>
    </w:p>
    <w:p w14:paraId="3F423501">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 </w:t>
      </w:r>
    </w:p>
    <w:p w14:paraId="60A02285">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采购代理机构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 </w:t>
      </w:r>
    </w:p>
    <w:p w14:paraId="4F1EB3D9">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异常低价投标（响应）审查的启动原因、审查意见和审查结果应当在评审报告中记录，并随供应商提供的相关书面说明及证明材料，以及评审委员会有关互联网浏览、查询历史一并归档。 </w:t>
      </w:r>
    </w:p>
    <w:p w14:paraId="7D551C8A">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三）各级财政部门应当加强对评审专家的指导和监管，进一步压实评审专家的责任。财政部门在投诉处理、监督检查中发现评审委员会未按规定对异常低价开展审查的，依法予以纠正并追究评审专家的法律责任。 </w:t>
      </w:r>
    </w:p>
    <w:p w14:paraId="1C85E320">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w:t>
      </w:r>
      <w:r>
        <w:rPr>
          <w:rFonts w:hint="eastAsia" w:ascii="宋体" w:hAnsi="宋体" w:eastAsia="宋体" w:cs="宋体"/>
          <w:b/>
          <w:bCs/>
          <w:i w:val="0"/>
          <w:iCs w:val="0"/>
          <w:caps w:val="0"/>
          <w:color w:val="2C2C2C"/>
          <w:spacing w:val="0"/>
          <w:sz w:val="24"/>
          <w:szCs w:val="24"/>
        </w:rPr>
        <w:t>三、加强政府采购履约验收管理 </w:t>
      </w:r>
    </w:p>
    <w:p w14:paraId="754DB862">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采购人应当落实履约验收责任，依法组织履约验收工作，验收内容要包括每一项技术和商务要求的履约情况。对报价触发异常低价投标（响应）审查程序后仍中标（成交）的供应商，采购人要重点关注其履约承诺、实际履约情况等。对可以分期实施的采购项目，实行分期考核、分期验收、分期支付，及时掌握供应商履约进展。如供应商中标（成交）后无正当理由拒不签订政府采购合同的，依法予以处理；如供应商不履行合同或者未按合同约定履行合同导致验收不合格的，采购人应当依法追究其违约责任。 </w:t>
      </w:r>
    </w:p>
    <w:p w14:paraId="4BF42C7D">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各部门、各地区要充分认识解决政府采购异常低价问题的重要意义，加强组织领导，周密安排部署，强化监督指导，结合工作实际，通过完善采购文件标准文本、增设交易系统功能、加强履约担保、加大违约责任追究力度等措施，进一步细化工作举措，确保各项要求落实到位。 </w:t>
      </w:r>
    </w:p>
    <w:p w14:paraId="3EEC8B83">
      <w:pPr>
        <w:pStyle w:val="2"/>
        <w:keepNext w:val="0"/>
        <w:keepLines w:val="0"/>
        <w:widowControl/>
        <w:suppressLineNumbers w:val="0"/>
        <w:spacing w:after="210" w:afterAutospacing="0" w:line="27" w:lineRule="atLeast"/>
        <w:ind w:left="0" w:firstLine="0"/>
        <w:jc w:val="both"/>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　　本通知自2026年2月1日起施行。 </w:t>
      </w:r>
    </w:p>
    <w:p w14:paraId="5DFECFED">
      <w:pPr>
        <w:pStyle w:val="2"/>
        <w:keepNext w:val="0"/>
        <w:keepLines w:val="0"/>
        <w:widowControl/>
        <w:suppressLineNumbers w:val="0"/>
        <w:spacing w:after="210" w:afterAutospacing="0" w:line="27" w:lineRule="atLeast"/>
        <w:ind w:left="0" w:firstLine="0"/>
        <w:jc w:val="right"/>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财政部</w:t>
      </w:r>
    </w:p>
    <w:p w14:paraId="04BBF0DB">
      <w:pPr>
        <w:pStyle w:val="2"/>
        <w:keepNext w:val="0"/>
        <w:keepLines w:val="0"/>
        <w:widowControl/>
        <w:suppressLineNumbers w:val="0"/>
        <w:spacing w:after="210" w:afterAutospacing="0" w:line="27" w:lineRule="atLeast"/>
        <w:ind w:left="0" w:firstLine="0"/>
        <w:jc w:val="right"/>
        <w:rPr>
          <w:rFonts w:hint="eastAsia" w:ascii="宋体" w:hAnsi="宋体" w:eastAsia="宋体" w:cs="宋体"/>
          <w:i w:val="0"/>
          <w:iCs w:val="0"/>
          <w:caps w:val="0"/>
          <w:color w:val="2C2C2C"/>
          <w:spacing w:val="0"/>
          <w:sz w:val="24"/>
          <w:szCs w:val="24"/>
        </w:rPr>
      </w:pPr>
      <w:r>
        <w:rPr>
          <w:rFonts w:hint="eastAsia" w:ascii="宋体" w:hAnsi="宋体" w:eastAsia="宋体" w:cs="宋体"/>
          <w:i w:val="0"/>
          <w:iCs w:val="0"/>
          <w:caps w:val="0"/>
          <w:color w:val="2C2C2C"/>
          <w:spacing w:val="0"/>
          <w:sz w:val="24"/>
          <w:szCs w:val="24"/>
        </w:rPr>
        <w:t>2026年1月14日</w:t>
      </w:r>
    </w:p>
    <w:p w14:paraId="2B6D743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